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5.png" ContentType="image/png"/>
  <Override PartName="/word/media/rId210.png" ContentType="image/png"/>
  <Override PartName="/word/media/rId214.png" ContentType="image/png"/>
  <Override PartName="/word/media/rId218.png" ContentType="image/png"/>
  <Override PartName="/word/media/rId224.png" ContentType="image/png"/>
  <Override PartName="/word/media/rId22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3.png" ContentType="image/png"/>
  <Override PartName="/word/media/rId168.png" ContentType="image/png"/>
  <Override PartName="/word/media/rId172.png" ContentType="image/png"/>
  <Override PartName="/word/media/rId176.png" ContentType="image/png"/>
  <Override PartName="/word/media/rId180.png" ContentType="image/png"/>
  <Override PartName="/word/media/rId159.png" ContentType="image/png"/>
  <Override PartName="/word/media/rId258.png" ContentType="image/png"/>
  <Override PartName="/word/media/rId253.png" ContentType="image/png"/>
  <Override PartName="/word/media/rId268.png" ContentType="image/png"/>
  <Override PartName="/word/media/rId271.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 Production Data Documentation</w:t>
      </w:r>
    </w:p>
    <w:p>
      <w:pPr>
        <w:pStyle w:val="Author"/>
      </w:pPr>
      <w:r>
        <w:t xml:space="preserve">Bering Sea Survey Team</w:t>
      </w:r>
    </w:p>
    <w:p>
      <w:pPr>
        <w:pStyle w:val="Author"/>
      </w:pPr>
      <w:r>
        <w:t xml:space="preserve">Gulf of Alaska Survey Team</w:t>
      </w:r>
    </w:p>
    <w:p>
      <w:pPr>
        <w:pStyle w:val="Author"/>
      </w:pPr>
      <w:r>
        <w:t xml:space="preserve">Aleutian Islands Survey Team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pStyle w:val="Compact"/>
        <w:numPr>
          <w:ilvl w:val="0"/>
          <w:numId w:val="1001"/>
        </w:numPr>
      </w:pPr>
      <w:r>
        <w:t xml:space="preserve">monitor the population and environmental trends in the marine ecosystem of the Bering Sea, Aleutian Islands, and Gulf of Alaska,</w:t>
      </w:r>
    </w:p>
    <w:p>
      <w:pPr>
        <w:pStyle w:val="Compact"/>
        <w:numPr>
          <w:ilvl w:val="0"/>
          <w:numId w:val="1001"/>
        </w:numPr>
      </w:pPr>
      <w:r>
        <w:t xml:space="preserve">produce fishery-independent biomass (weight) and abundance (number) estimates for commercially important fish and crab species, and</w:t>
      </w:r>
    </w:p>
    <w:p>
      <w:pPr>
        <w:pStyle w:val="Compact"/>
        <w:numPr>
          <w:ilvl w:val="0"/>
          <w:numId w:val="1001"/>
        </w:numPr>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315,501.9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r>
    </w:tbl>
    <w:bookmarkStart w:id="39" w:name="aleutian-islands"/>
    <w:p>
      <w:pPr>
        <w:pStyle w:val="Heading3"/>
      </w:pPr>
      <w:r>
        <w:t xml:space="preserve">1.5.1</w:t>
      </w:r>
      <w:r>
        <w:t xml:space="preserve"> </w:t>
      </w:r>
      <w:r>
        <w:rPr>
          <w:b/>
          <w:bCs/>
        </w:rPr>
        <w:t xml:space="preserve">Aleutian Islands</w:t>
      </w:r>
    </w:p>
    <w:p>
      <w:pPr>
        <w:pStyle w:val="FirstParagraph"/>
      </w:pPr>
      <w:r>
        <w:t xml:space="preserve">Most recent data report:</w:t>
      </w:r>
      <w:r>
        <w:t xml:space="preserve"> </w:t>
      </w:r>
      <w:r>
        <w:t xml:space="preserve">(Von Szalay et al., 2023)</w:t>
      </w:r>
    </w:p>
    <w:p>
      <w:pPr>
        <w:pStyle w:val="Compact"/>
        <w:numPr>
          <w:ilvl w:val="0"/>
          <w:numId w:val="1002"/>
        </w:numPr>
      </w:pPr>
      <w:r>
        <w:t xml:space="preserve">Upper Continental Slope of the Aleutian Islands from Unimak Pass to Stalemate Bank</w:t>
      </w:r>
    </w:p>
    <w:p>
      <w:pPr>
        <w:pStyle w:val="Compact"/>
        <w:numPr>
          <w:ilvl w:val="0"/>
          <w:numId w:val="1002"/>
        </w:numPr>
      </w:pPr>
      <w:r>
        <w:t xml:space="preserve">Triennial (1990s)/Biennial since 2000 in even years, since 1992</w:t>
      </w:r>
    </w:p>
    <w:p>
      <w:pPr>
        <w:pStyle w:val="Compact"/>
        <w:numPr>
          <w:ilvl w:val="0"/>
          <w:numId w:val="1002"/>
        </w:numPr>
      </w:pPr>
      <w:r>
        <w:t xml:space="preserve">Modified Index-Stratified Random of Successful Stations Survey Design</w:t>
      </w:r>
    </w:p>
    <w:p>
      <w:pPr>
        <w:pStyle w:val="Compact"/>
        <w:numPr>
          <w:ilvl w:val="0"/>
          <w:numId w:val="1002"/>
        </w:numPr>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
          <w:bCs/>
        </w:rPr>
        <w:t xml:space="preserve">Gulf of Alaska</w:t>
      </w:r>
    </w:p>
    <w:p>
      <w:pPr>
        <w:pStyle w:val="FirstParagraph"/>
      </w:pPr>
      <w:r>
        <w:t xml:space="preserve">Most recent data report:</w:t>
      </w:r>
      <w:r>
        <w:t xml:space="preserve"> </w:t>
      </w:r>
      <w:r>
        <w:t xml:space="preserve">(Siple et al., 2024)</w:t>
      </w:r>
    </w:p>
    <w:p>
      <w:pPr>
        <w:pStyle w:val="Compact"/>
        <w:numPr>
          <w:ilvl w:val="0"/>
          <w:numId w:val="1003"/>
        </w:numPr>
      </w:pPr>
      <w:r>
        <w:t xml:space="preserve">Continental Shelf and Upper Slope of the Gulf of Alaska extending from the Islands of Four Mountains 2,300 km east to Dixon Entrance</w:t>
      </w:r>
    </w:p>
    <w:p>
      <w:pPr>
        <w:pStyle w:val="Compact"/>
        <w:numPr>
          <w:ilvl w:val="0"/>
          <w:numId w:val="1003"/>
        </w:numPr>
      </w:pPr>
      <w:r>
        <w:t xml:space="preserve">Triennial (1990s)/Biennial since 2001 in odd years, since 1991</w:t>
      </w:r>
    </w:p>
    <w:p>
      <w:pPr>
        <w:pStyle w:val="Compact"/>
        <w:numPr>
          <w:ilvl w:val="0"/>
          <w:numId w:val="1003"/>
        </w:numPr>
      </w:pPr>
      <w:r>
        <w:t xml:space="preserve">Stratified Random Survey Design</w:t>
      </w:r>
    </w:p>
    <w:p>
      <w:pPr>
        <w:pStyle w:val="Compact"/>
        <w:numPr>
          <w:ilvl w:val="0"/>
          <w:numId w:val="1003"/>
        </w:numPr>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
          <w:bCs/>
        </w:rPr>
        <w:t xml:space="preserve">Eastern Bering Sea Shelf</w:t>
      </w:r>
    </w:p>
    <w:p>
      <w:pPr>
        <w:pStyle w:val="FirstParagraph"/>
      </w:pPr>
      <w:r>
        <w:t xml:space="preserve">Most recent data report:</w:t>
      </w:r>
      <w:r>
        <w:t xml:space="preserve"> </w:t>
      </w:r>
      <w:r>
        <w:t xml:space="preserve">(Markowitz et al., 2024)</w:t>
      </w:r>
    </w:p>
    <w:p>
      <w:pPr>
        <w:pStyle w:val="Compact"/>
        <w:numPr>
          <w:ilvl w:val="0"/>
          <w:numId w:val="1004"/>
        </w:numPr>
      </w:pPr>
      <w:r>
        <w:t xml:space="preserve">The continental shelf of the eastern Bering Sea from the Aleutian Islands to the Bering Strait</w:t>
      </w:r>
    </w:p>
    <w:p>
      <w:pPr>
        <w:pStyle w:val="Compact"/>
        <w:numPr>
          <w:ilvl w:val="0"/>
          <w:numId w:val="1004"/>
        </w:numPr>
      </w:pPr>
      <w:r>
        <w:t xml:space="preserve">Conducted annually since 1982.</w:t>
      </w:r>
    </w:p>
    <w:p>
      <w:pPr>
        <w:pStyle w:val="Compact"/>
        <w:numPr>
          <w:ilvl w:val="0"/>
          <w:numId w:val="1004"/>
        </w:numPr>
      </w:pPr>
      <w:r>
        <w:t xml:space="preserve">Uses a stratified systematic sampling survey design with fixed stations at center of 20 x 20 nm grid.</w:t>
      </w:r>
    </w:p>
    <w:p>
      <w:pPr>
        <w:pStyle w:val="Compact"/>
        <w:numPr>
          <w:ilvl w:val="0"/>
          <w:numId w:val="1004"/>
        </w:numPr>
      </w:pPr>
      <w:r>
        <w:t xml:space="preserve">Similar in design to the northern Bering Sea shelf bottom trawl survey.</w:t>
      </w:r>
    </w:p>
    <w:p>
      <w:pPr>
        <w:pStyle w:val="Compact"/>
        <w:numPr>
          <w:ilvl w:val="0"/>
          <w:numId w:val="1004"/>
        </w:numPr>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
          <w:bCs/>
        </w:rPr>
        <w:t xml:space="preserve">Northern Bering Sea</w:t>
      </w:r>
    </w:p>
    <w:p>
      <w:pPr>
        <w:pStyle w:val="FirstParagraph"/>
      </w:pPr>
      <w:r>
        <w:t xml:space="preserve">Most recent data report:</w:t>
      </w:r>
      <w:r>
        <w:t xml:space="preserve"> </w:t>
      </w:r>
      <w:r>
        <w:t xml:space="preserve">(Markowitz et al., 2024)</w:t>
      </w:r>
    </w:p>
    <w:p>
      <w:pPr>
        <w:pStyle w:val="Compact"/>
        <w:numPr>
          <w:ilvl w:val="0"/>
          <w:numId w:val="1005"/>
        </w:numPr>
      </w:pPr>
      <w:r>
        <w:t xml:space="preserve">The continental shelf of the northern Bering Sea, including the area north of St. Lawrence Island and Norton Sound</w:t>
      </w:r>
    </w:p>
    <w:p>
      <w:pPr>
        <w:pStyle w:val="Compact"/>
        <w:numPr>
          <w:ilvl w:val="0"/>
          <w:numId w:val="1005"/>
        </w:numPr>
      </w:pPr>
      <w:r>
        <w:t xml:space="preserve">Biennial/Annual; conducted intermittently since 2010</w:t>
      </w:r>
    </w:p>
    <w:p>
      <w:pPr>
        <w:pStyle w:val="Compact"/>
        <w:numPr>
          <w:ilvl w:val="0"/>
          <w:numId w:val="1005"/>
        </w:numPr>
      </w:pPr>
      <w:r>
        <w:t xml:space="preserve">Uses a stratified systematic sampling survey design with fixed stations at center of 20 x 20 nm grid.</w:t>
      </w:r>
    </w:p>
    <w:p>
      <w:pPr>
        <w:pStyle w:val="Compact"/>
        <w:numPr>
          <w:ilvl w:val="0"/>
          <w:numId w:val="1005"/>
        </w:numPr>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
          <w:bCs/>
        </w:rPr>
        <w:t xml:space="preserve">Eastern Bering Sea Upper Continental Slope</w:t>
      </w:r>
    </w:p>
    <w:p>
      <w:pPr>
        <w:pStyle w:val="FirstParagraph"/>
      </w:pPr>
      <w:r>
        <w:t xml:space="preserve">Most recent data report:</w:t>
      </w:r>
      <w:r>
        <w:t xml:space="preserve"> </w:t>
      </w:r>
      <w:r>
        <w:t xml:space="preserve">(Hoff, 2016)</w:t>
      </w:r>
    </w:p>
    <w:p>
      <w:pPr>
        <w:pStyle w:val="Compact"/>
        <w:numPr>
          <w:ilvl w:val="0"/>
          <w:numId w:val="1006"/>
        </w:numPr>
      </w:pPr>
      <w:r>
        <w:t xml:space="preserve">The eastern Bering Sea upper continental slope survey area extends from Unalaska and Akutan Islands to the U.S.-Russian Maritime Boundary at 61° N near the International Date Line (166° E to 180° W) at depths from 200 to 1,200 m</w:t>
      </w:r>
    </w:p>
    <w:p>
      <w:pPr>
        <w:pStyle w:val="Compact"/>
        <w:numPr>
          <w:ilvl w:val="0"/>
          <w:numId w:val="1006"/>
        </w:numPr>
      </w:pPr>
      <w:r>
        <w:t xml:space="preserve">Conducted intermittently since 2002 (funding dependent)</w:t>
      </w:r>
    </w:p>
    <w:p>
      <w:pPr>
        <w:pStyle w:val="Compact"/>
        <w:numPr>
          <w:ilvl w:val="0"/>
          <w:numId w:val="1006"/>
        </w:numPr>
      </w:pPr>
      <w:r>
        <w:t xml:space="preserve">Modified Index-Stratified Random of Successful Stations Survey Design</w:t>
      </w:r>
    </w:p>
    <w:p>
      <w:pPr>
        <w:pStyle w:val="Compact"/>
        <w:numPr>
          <w:ilvl w:val="0"/>
          <w:numId w:val="1006"/>
        </w:numPr>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ayout w:type="fixed"/>
        <w:tblLook w:firstRow="0" w:lastRow="0" w:firstColumn="0" w:lastColumn="0" w:noHBand="0" w:noVBand="0" w:val="0000"/>
      </w:tblPr>
      <w:tblGrid>
        <w:gridCol w:w="7920"/>
      </w:tblGrid>
      <w:tr>
        <w:tc>
          <w:tcPr/>
          <w:bookmarkStart w:id="68" w:name="fig-deck-bio-workflow"/>
          <w:p>
            <w:pPr>
              <w:jc w:val="center"/>
            </w:pPr>
            <w:r>
              <w:drawing>
                <wp:inline>
                  <wp:extent cx="5943600" cy="4228914"/>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42289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“data”</w:t>
      </w:r>
      <w:r>
        <w:t xml:space="preserve"> </w:t>
      </w:r>
      <w:r>
        <w:t xml:space="preserve">(what we consider lower level data material; see the data levels section below) but</w:t>
      </w:r>
      <w:r>
        <w:t xml:space="preserve"> </w:t>
      </w:r>
      <w:r>
        <w:t xml:space="preserve">“data products”</w:t>
      </w:r>
      <w:r>
        <w:t xml:space="preserve">, which is intended to facilitate the most fool-proof standard interpretation of the data. These data products only use data from standard and validated hauls, and has undergone careful review.</w:t>
      </w:r>
    </w:p>
    <w:p>
      <w:pPr>
        <w:pStyle w:val="BodyText"/>
      </w:pPr>
      <w:r>
        <w:rPr>
          <w:b/>
          <w:bCs/>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
          <w:bCs/>
        </w:rPr>
        <w:t xml:space="preserve">living data set</w:t>
      </w:r>
      <w:r>
        <w:t xml:space="preserve"> </w:t>
      </w:r>
      <w:r>
        <w:t xml:space="preserve">so we can continue to</w:t>
      </w:r>
      <w:r>
        <w:t xml:space="preserve"> </w:t>
      </w:r>
      <w:r>
        <w:rPr>
          <w:b/>
          <w:bCs/>
        </w:rPr>
        <w:t xml:space="preserve">provide the best available data to all partners, stakeholders, and fellow scientists</w:t>
      </w:r>
      <w:r>
        <w:t xml:space="preserve">.</w:t>
      </w:r>
    </w:p>
    <w:tbl>
      <w:tblPr>
        <w:tblStyle w:val="Table"/>
        <w:tblW w:type="pct" w:w="5000"/>
        <w:tblLayout w:type="fixed"/>
        <w:tblLook w:firstRow="0" w:lastRow="0" w:firstColumn="0" w:lastColumn="0" w:noHBand="0" w:noVBand="0" w:val="0000"/>
      </w:tblPr>
      <w:tblGrid>
        <w:gridCol w:w="7920"/>
      </w:tblGrid>
      <w:tr>
        <w:tc>
          <w:tcPr/>
          <w:bookmarkStart w:id="73" w:name="fig-workflow"/>
          <w:p>
            <w:pPr>
              <w:jc w:val="center"/>
            </w:pPr>
            <w:r>
              <w:drawing>
                <wp:inline>
                  <wp:extent cx="5943600" cy="2288403"/>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2884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ayout w:type="fixed"/>
        <w:tblLook w:firstRow="0" w:lastRow="0" w:firstColumn="0" w:lastColumn="0" w:noHBand="0" w:noVBand="0" w:val="0000"/>
      </w:tblPr>
      <w:tblGrid>
        <w:gridCol w:w="7920"/>
      </w:tblGrid>
      <w:tr>
        <w:tc>
          <w:tcPr/>
          <w:bookmarkStart w:id="77" w:name="fig-data-used"/>
          <w:p>
            <w:pPr>
              <w:jc w:val="center"/>
            </w:pPr>
            <w:r>
              <w:drawing>
                <wp:inline>
                  <wp:extent cx="5943600" cy="8523602"/>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85236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pStyle w:val="Compact"/>
        <w:numPr>
          <w:ilvl w:val="0"/>
          <w:numId w:val="1008"/>
        </w:numPr>
      </w:pPr>
      <w:r>
        <w:rPr>
          <w:b/>
          <w:bCs/>
        </w:rPr>
        <w:t xml:space="preserve">Level 0</w:t>
      </w:r>
      <w:r>
        <w:t xml:space="preserve">: Raw and unprocessed data. Ex: Data on the G drive, some tables in RACE_DATA</w:t>
      </w:r>
    </w:p>
    <w:p>
      <w:pPr>
        <w:pStyle w:val="Compact"/>
        <w:numPr>
          <w:ilvl w:val="0"/>
          <w:numId w:val="1008"/>
        </w:numPr>
      </w:pPr>
      <w:r>
        <w:rPr>
          <w:b/>
          <w:bCs/>
        </w:rPr>
        <w:t xml:space="preserve">Level 1</w:t>
      </w:r>
      <w:r>
        <w:t xml:space="preserve">: Data products with QA/QC applied that may or may not be expanded to analysis units, but either not georeferenced or does not include full metadata. Ex: Some tables in RACE_DATA and RACEBASE</w:t>
      </w:r>
    </w:p>
    <w:p>
      <w:pPr>
        <w:pStyle w:val="Compact"/>
        <w:numPr>
          <w:ilvl w:val="0"/>
          <w:numId w:val="1008"/>
        </w:numPr>
      </w:pPr>
      <w:r>
        <w:rPr>
          <w:b/>
          <w:bCs/>
        </w:rPr>
        <w:t xml:space="preserve">Level 2</w:t>
      </w:r>
      <w:r>
        <w:t xml:space="preserve">: Analysis-ready data products that are derived for a standardized extent and account for zeros and missing/bad data. Ex: CPUE tables, some data products in public-facing archives and repositories</w:t>
      </w:r>
    </w:p>
    <w:p>
      <w:pPr>
        <w:pStyle w:val="Compact"/>
        <w:numPr>
          <w:ilvl w:val="0"/>
          <w:numId w:val="1008"/>
        </w:numPr>
      </w:pPr>
      <w:r>
        <w:rPr>
          <w:b/>
          <w:bCs/>
        </w:rPr>
        <w:t xml:space="preserve">Level 3</w:t>
      </w:r>
      <w:r>
        <w:t xml:space="preserve">: Data products that are synthesized across a standardized extent, often inputs in a higher-level analytical product. Ex: Abundance indices, some data products in public-facing archives and repositories</w:t>
      </w:r>
    </w:p>
    <w:p>
      <w:pPr>
        <w:pStyle w:val="Compact"/>
        <w:numPr>
          <w:ilvl w:val="0"/>
          <w:numId w:val="1008"/>
        </w:numPr>
      </w:pPr>
      <w:r>
        <w:rPr>
          <w:b/>
          <w:bCs/>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7" w:name="news"/>
    <w:p>
      <w:pPr>
        <w:pStyle w:val="Heading1"/>
      </w:pPr>
      <w:r>
        <w:t xml:space="preserve">3. News</w:t>
      </w:r>
    </w:p>
    <w:bookmarkStart w:id="106"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7">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9">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0">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1">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2">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3">
        <w:r>
          <w:rPr>
            <w:rStyle w:val="Hyperlink"/>
          </w:rPr>
          <w:t xml:space="preserve">GAP_PRODUCTS ChangeLog (last produced on 2024-05-04)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5">
        <w:r>
          <w:rPr>
            <w:rStyle w:val="Hyperlink"/>
          </w:rPr>
          <w:t xml:space="preserve">GAP_PRODUCTS ChangeLog (last produced on 2024-04-09)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6">
        <w:r>
          <w:rPr>
            <w:rStyle w:val="Hyperlink"/>
          </w:rPr>
          <w:t xml:space="preserve">GAP_PRODUCTS ChangeLog (last produced on 2024-02-29) using gapindex v2.2.0</w:t>
        </w:r>
      </w:hyperlink>
      <w:r>
        <w:t xml:space="preserve">: A new version of gapindex</w:t>
      </w:r>
      <w:r>
        <w:t xml:space="preserve"> </w:t>
      </w:r>
      <w:hyperlink r:id="rId9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9">
        <w:r>
          <w:rPr>
            <w:rStyle w:val="Hyperlink"/>
          </w:rPr>
          <w:t xml:space="preserve">GAP_PRODUCTS ChangeLog (last produced on 2024-01-09) using gapindex v2.1.3</w:t>
        </w:r>
      </w:hyperlink>
      <w:r>
        <w:t xml:space="preserve">: A new version of gapindex (</w:t>
      </w:r>
      <w:hyperlink r:id="rId10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1">
        <w:r>
          <w:rPr>
            <w:rStyle w:val="Hyperlink"/>
          </w:rPr>
          <w:t xml:space="preserve">GAP_PRODUCTS ChangeLog (last produced on 2023-11-17) using gapindex v2.1.2</w:t>
        </w:r>
      </w:hyperlink>
      <w:r>
        <w:t xml:space="preserve">: A new version of gapindex (</w:t>
      </w:r>
      <w:hyperlink r:id="rId10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5">
        <w:r>
          <w:rPr>
            <w:rStyle w:val="Hyperlink"/>
          </w:rPr>
          <w:t xml:space="preserve">Run 2023-06-01 gapindex v2.1.0</w:t>
        </w:r>
      </w:hyperlink>
      <w:r>
        <w:t xml:space="preserve">: Initial compiling and planning notes</w:t>
      </w:r>
    </w:p>
    <w:bookmarkEnd w:id="106"/>
    <w:bookmarkEnd w:id="107"/>
    <w:bookmarkStart w:id="112" w:name="code-of-conduct"/>
    <w:p>
      <w:pPr>
        <w:pStyle w:val="Heading1"/>
      </w:pPr>
      <w:r>
        <w:t xml:space="preserve">4. Code of Conduct</w:t>
      </w:r>
    </w:p>
    <w:bookmarkStart w:id="11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‘Code Owner’</w:t>
      </w:r>
      <w:r>
        <w:t xml:space="preserve">) which is representative of a sector (or category of data controllers or processors), with the expert and sectoral knowledge of how to enhance data protection in their area.</w:t>
      </w:r>
    </w:p>
    <w:bookmarkStart w:id="110" w:name="X5c642363704a893a3daf2ea4c1fbd399a9b06a3"/>
    <w:p>
      <w:pPr>
        <w:pStyle w:val="Heading3"/>
      </w:pPr>
      <w:r>
        <w:t xml:space="preserve">4.1.1</w:t>
      </w:r>
      <w:r>
        <w:t xml:space="preserve"> </w:t>
      </w:r>
      <w:hyperlink r:id="rId108">
        <w:r>
          <w:rPr>
            <w:rStyle w:val="Hyperlink"/>
          </w:rPr>
          <w:t xml:space="preserve">Code of Conduct</w:t>
        </w:r>
      </w:hyperlink>
      <w:r>
        <w:t xml:space="preserve"> </w:t>
      </w:r>
      <w:r>
        <w:t xml:space="preserve">from the</w:t>
      </w:r>
      <w:r>
        <w:t xml:space="preserve"> </w:t>
      </w:r>
      <w:hyperlink r:id="rId109">
        <w:r>
          <w:rPr>
            <w:rStyle w:val="Hyperlink"/>
          </w:rPr>
          <w:t xml:space="preserve">nmfs-opensci GitHub</w:t>
        </w:r>
      </w:hyperlink>
      <w:r>
        <w:t xml:space="preserve">.</w:t>
      </w:r>
    </w:p>
    <w:bookmarkEnd w:id="110"/>
    <w:bookmarkEnd w:id="111"/>
    <w:bookmarkEnd w:id="112"/>
    <w:bookmarkStart w:id="12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3"/>
    <w:bookmarkStart w:id="114" w:name="our-standards"/>
    <w:p>
      <w:pPr>
        <w:pStyle w:val="Heading2"/>
      </w:pPr>
      <w:r>
        <w:t xml:space="preserve">5.2 Our Standards</w:t>
      </w:r>
    </w:p>
    <w:p>
      <w:pPr>
        <w:pStyle w:val="FirstParagraph"/>
      </w:pPr>
      <w:r>
        <w:t xml:space="preserve">Examples of behavior that contributes to creating a positive environment include:</w:t>
      </w:r>
    </w:p>
    <w:p>
      <w:pPr>
        <w:pStyle w:val="Compact"/>
        <w:numPr>
          <w:ilvl w:val="0"/>
          <w:numId w:val="1009"/>
        </w:numPr>
      </w:pPr>
      <w:r>
        <w:t xml:space="preserve">Using welcoming and inclusive language</w:t>
      </w:r>
    </w:p>
    <w:p>
      <w:pPr>
        <w:pStyle w:val="Compact"/>
        <w:numPr>
          <w:ilvl w:val="0"/>
          <w:numId w:val="1009"/>
        </w:numPr>
      </w:pPr>
      <w:r>
        <w:t xml:space="preserve">Being respectful of differing viewpoints and experiences</w:t>
      </w:r>
    </w:p>
    <w:p>
      <w:pPr>
        <w:pStyle w:val="Compact"/>
        <w:numPr>
          <w:ilvl w:val="0"/>
          <w:numId w:val="1009"/>
        </w:numPr>
      </w:pPr>
      <w:r>
        <w:t xml:space="preserve">Gracefully accepting constructive criticism</w:t>
      </w:r>
    </w:p>
    <w:p>
      <w:pPr>
        <w:pStyle w:val="Compact"/>
        <w:numPr>
          <w:ilvl w:val="0"/>
          <w:numId w:val="1009"/>
        </w:numPr>
      </w:pPr>
      <w:r>
        <w:t xml:space="preserve">Focusing on what is best for the community</w:t>
      </w:r>
    </w:p>
    <w:p>
      <w:pPr>
        <w:pStyle w:val="Compact"/>
        <w:numPr>
          <w:ilvl w:val="0"/>
          <w:numId w:val="1009"/>
        </w:numPr>
      </w:pPr>
      <w:r>
        <w:t xml:space="preserve">Showing empathy towards other community members</w:t>
      </w:r>
    </w:p>
    <w:p>
      <w:pPr>
        <w:pStyle w:val="FirstParagraph"/>
      </w:pPr>
      <w:r>
        <w:t xml:space="preserve">Examples of unacceptable behavior by participants include:</w:t>
      </w:r>
    </w:p>
    <w:p>
      <w:pPr>
        <w:pStyle w:val="Compact"/>
        <w:numPr>
          <w:ilvl w:val="0"/>
          <w:numId w:val="1010"/>
        </w:numPr>
      </w:pPr>
      <w:r>
        <w:t xml:space="preserve">The use of sexualized language or imagery and unwelcome sexual attention or advances</w:t>
      </w:r>
    </w:p>
    <w:p>
      <w:pPr>
        <w:pStyle w:val="Compact"/>
        <w:numPr>
          <w:ilvl w:val="0"/>
          <w:numId w:val="1010"/>
        </w:numPr>
      </w:pPr>
      <w:r>
        <w:t xml:space="preserve">Trolling, insulting/derogatory comments, and personal or political attacks</w:t>
      </w:r>
    </w:p>
    <w:p>
      <w:pPr>
        <w:pStyle w:val="Compact"/>
        <w:numPr>
          <w:ilvl w:val="0"/>
          <w:numId w:val="1010"/>
        </w:numPr>
      </w:pPr>
      <w:r>
        <w:t xml:space="preserve">Public or private harassment</w:t>
      </w:r>
    </w:p>
    <w:p>
      <w:pPr>
        <w:pStyle w:val="Compact"/>
        <w:numPr>
          <w:ilvl w:val="0"/>
          <w:numId w:val="1010"/>
        </w:numPr>
      </w:pPr>
      <w:r>
        <w:t xml:space="preserve">Publishing others’ private information, such as a physical or electronic address, without explicit permission</w:t>
      </w:r>
    </w:p>
    <w:p>
      <w:pPr>
        <w:pStyle w:val="Compact"/>
        <w:numPr>
          <w:ilvl w:val="0"/>
          <w:numId w:val="1010"/>
        </w:numPr>
      </w:pPr>
      <w:r>
        <w:t xml:space="preserve">Other conduct which could reasonably be considered inappropriate in a professional setting</w:t>
      </w:r>
    </w:p>
    <w:bookmarkEnd w:id="114"/>
    <w:bookmarkStart w:id="11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5"/>
    <w:bookmarkStart w:id="11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6"/>
    <w:bookmarkStart w:id="11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7"/>
    <w:bookmarkStart w:id="120" w:name="attribution"/>
    <w:p>
      <w:pPr>
        <w:pStyle w:val="Heading2"/>
      </w:pPr>
      <w:r>
        <w:t xml:space="preserve">5.6 Attribution</w:t>
      </w:r>
    </w:p>
    <w:p>
      <w:pPr>
        <w:pStyle w:val="FirstParagraph"/>
      </w:pPr>
      <w:r>
        <w:t xml:space="preserve">This Code of Conduct is adapted from the</w:t>
      </w:r>
      <w:r>
        <w:t xml:space="preserve"> </w:t>
      </w:r>
      <w:hyperlink r:id="rId118">
        <w:r>
          <w:rPr>
            <w:rStyle w:val="Hyperlink"/>
          </w:rPr>
          <w:t xml:space="preserve">Contributor Covenant</w:t>
        </w:r>
      </w:hyperlink>
      <w:r>
        <w:t xml:space="preserve">, version 1.4, available at</w:t>
      </w:r>
      <w:r>
        <w:t xml:space="preserve"> </w:t>
      </w:r>
      <w:hyperlink r:id="rId119">
        <w:r>
          <w:rPr>
            <w:rStyle w:val="Hyperlink"/>
          </w:rPr>
          <w:t xml:space="preserve">https://contributor-covenant.org/version/1/4</w:t>
        </w:r>
      </w:hyperlink>
    </w:p>
    <w:bookmarkEnd w:id="120"/>
    <w:bookmarkEnd w:id="121"/>
    <w:bookmarkStart w:id="133" w:name="data-description-1"/>
    <w:p>
      <w:pPr>
        <w:pStyle w:val="Heading1"/>
      </w:pPr>
      <w:r>
        <w:t xml:space="preserve">6. Data description</w:t>
      </w:r>
    </w:p>
    <w:bookmarkStart w:id="132" w:name="data-tables"/>
    <w:p>
      <w:pPr>
        <w:pStyle w:val="Heading2"/>
      </w:pPr>
      <w:r>
        <w:t xml:space="preserve">6.1 Data tables</w:t>
      </w:r>
    </w:p>
    <w:bookmarkStart w:id="123"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3"/>
    <w:bookmarkStart w:id="124"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4"/>
    <w:bookmarkStart w:id="125"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5"/>
    <w:bookmarkStart w:id="126"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6"/>
    <w:bookmarkStart w:id="127"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April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7"/>
    <w:bookmarkStart w:id="128"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128"/>
    <w:bookmarkStart w:id="129"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9"/>
    <w:bookmarkStart w:id="130"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0"/>
    <w:bookmarkStart w:id="131"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1"/>
    <w:bookmarkEnd w:id="132"/>
    <w:bookmarkEnd w:id="133"/>
    <w:bookmarkStart w:id="134"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July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 ID code representing a broad range of spatial areas from statistical sampling strata to management and regional areas composed of multiple strata.</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 implemented in database</w:t>
            </w:r>
          </w:p>
        </w:tc>
      </w:tr>
    </w:tbl>
    <w:bookmarkEnd w:id="134"/>
    <w:bookmarkStart w:id="152" w:name="data-description-2"/>
    <w:p>
      <w:pPr>
        <w:pStyle w:val="Heading1"/>
      </w:pPr>
      <w:r>
        <w:t xml:space="preserve">8. Data description</w:t>
      </w:r>
    </w:p>
    <w:p>
      <w:pPr>
        <w:pStyle w:val="FirstParagraph"/>
      </w:pPr>
      <w:hyperlink r:id="rId13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1" w:name="data-tables-1"/>
    <w:p>
      <w:pPr>
        <w:pStyle w:val="Heading2"/>
      </w:pPr>
      <w:r>
        <w:t xml:space="preserve">8.1 Data tables</w:t>
      </w:r>
    </w:p>
    <w:bookmarkStart w:id="136"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6"/>
    <w:bookmarkStart w:id="137"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7"/>
    <w:bookmarkStart w:id="138"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8"/>
    <w:bookmarkStart w:id="139"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971,788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9"/>
    <w:bookmarkStart w:id="140"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21,279,208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0"/>
    <w:bookmarkStart w:id="141"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1"/>
    <w:bookmarkStart w:id="142"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34,193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2">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2">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2">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2">
        <w:r>
          <w:rPr>
            <w:rStyle w:val="Hyperlink"/>
          </w:rPr>
          <w:t xml:space="preserve">code books</w:t>
        </w:r>
      </w:hyperlink>
      <w:r>
        <w:t xml:space="preserve">.</w:t>
      </w:r>
    </w:p>
    <w:bookmarkEnd w:id="142"/>
    <w:bookmarkStart w:id="143"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4,448,213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43"/>
    <w:bookmarkStart w:id="144"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4"/>
    <w:bookmarkStart w:id="145"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5"/>
    <w:bookmarkStart w:id="146"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588,066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2">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2">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2">
        <w:r>
          <w:rPr>
            <w:rStyle w:val="Hyperlink"/>
          </w:rPr>
          <w:t xml:space="preserve">code books</w:t>
        </w:r>
      </w:hyperlink>
      <w:r>
        <w:t xml:space="preserve">.</w:t>
      </w:r>
    </w:p>
    <w:bookmarkEnd w:id="146"/>
    <w:bookmarkStart w:id="147"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7"/>
    <w:bookmarkStart w:id="148"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8"/>
    <w:bookmarkStart w:id="149"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9"/>
    <w:bookmarkStart w:id="150"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0"/>
    <w:bookmarkEnd w:id="151"/>
    <w:bookmarkEnd w:id="152"/>
    <w:bookmarkStart w:id="189" w:name="access-data-via-oracle-and-r"/>
    <w:p>
      <w:pPr>
        <w:pStyle w:val="Heading1"/>
      </w:pPr>
      <w:r>
        <w:t xml:space="preserve">9. Access data via Oracle and R</w:t>
      </w:r>
    </w:p>
    <w:bookmarkStart w:id="15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3"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3"/>
    <w:bookmarkEnd w:id="154"/>
    <w:bookmarkStart w:id="18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5"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5"/>
    <w:bookmarkStart w:id="156"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bl>
    <w:bookmarkEnd w:id="156"/>
    <w:bookmarkStart w:id="157"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bl>
    <w:bookmarkEnd w:id="157"/>
    <w:bookmarkStart w:id="162" w:name="X4ca88a5e06820f076cc03c34f683f499fdc73ef"/>
    <w:p>
      <w:pPr>
        <w:pStyle w:val="Heading3"/>
      </w:pPr>
      <w:r>
        <w:t xml:space="preserve">9.0.5 Ex. EBS Pacific Ocean perch CPUE and</w:t>
      </w:r>
      <w:r>
        <w:t xml:space="preserve"> </w:t>
      </w:r>
      <w:hyperlink r:id="rId15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0" name="Picture"/>
            <a:graphic>
              <a:graphicData uri="http://schemas.openxmlformats.org/drawingml/2006/picture">
                <pic:pic>
                  <pic:nvPicPr>
                    <pic:cNvPr descr="content/akfin-oracle-sql-r_files/figure-docx/test-6-fig-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8">
        <w:r>
          <w:rPr>
            <w:rStyle w:val="VerbatimChar"/>
          </w:rPr>
          <w:t xml:space="preserve">akgfmaps</w:t>
        </w:r>
      </w:hyperlink>
      <w:r>
        <w:t xml:space="preserve"> </w:t>
      </w:r>
      <w:r>
        <w:t xml:space="preserve">map.</w:t>
      </w:r>
    </w:p>
    <w:bookmarkEnd w:id="162"/>
    <w:bookmarkStart w:id="166"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4" name="Picture"/>
            <a:graphic>
              <a:graphicData uri="http://schemas.openxmlformats.org/drawingml/2006/picture">
                <pic:pic>
                  <pic:nvPicPr>
                    <pic:cNvPr descr="content/akfin-oracle-sql-r_files/figure-docx/test-1-plot-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6"/>
    <w:bookmarkStart w:id="171"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9" name="Picture"/>
            <a:graphic>
              <a:graphicData uri="http://schemas.openxmlformats.org/drawingml/2006/picture">
                <pic:pic>
                  <pic:nvPicPr>
                    <pic:cNvPr descr="content/akfin-oracle-sql-r_files/figure-docx/test-2-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1"/>
    <w:bookmarkStart w:id="175"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3" name="Picture"/>
            <a:graphic>
              <a:graphicData uri="http://schemas.openxmlformats.org/drawingml/2006/picture">
                <pic:pic>
                  <pic:nvPicPr>
                    <pic:cNvPr descr="content/akfin-oracle-sql-r_files/figure-docx/test-3-plot-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5"/>
    <w:bookmarkStart w:id="179"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7" name="Picture"/>
            <a:graphic>
              <a:graphicData uri="http://schemas.openxmlformats.org/drawingml/2006/picture">
                <pic:pic>
                  <pic:nvPicPr>
                    <pic:cNvPr descr="content/akfin-oracle-sql-r_files/figure-docx/test-4-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9"/>
    <w:bookmarkStart w:id="183"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1" name="Picture"/>
            <a:graphic>
              <a:graphicData uri="http://schemas.openxmlformats.org/drawingml/2006/picture">
                <pic:pic>
                  <pic:nvPicPr>
                    <pic:cNvPr descr="content/akfin-oracle-sql-r_files/figure-docx/test-5-fig-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3"/>
    <w:bookmarkStart w:id="187" w:name="X2e39202f302af2bd0d614011ab537ae1d321517"/>
    <w:p>
      <w:pPr>
        <w:pStyle w:val="Heading3"/>
      </w:pPr>
      <w:r>
        <w:t xml:space="preserve">9.0.11 Ex. 2022 AI Atka mackerel age specimen summary</w:t>
      </w:r>
    </w:p>
    <w:bookmarkStart w:id="184"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r>
    </w:tbl>
    <w:bookmarkEnd w:id="184"/>
    <w:bookmarkStart w:id="185"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bookmarkEnd w:id="185"/>
    <w:bookmarkStart w:id="186"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1,061</w:t>
            </w:r>
          </w:p>
        </w:tc>
      </w:tr>
    </w:tbl>
    <w:bookmarkEnd w:id="186"/>
    <w:bookmarkEnd w:id="187"/>
    <w:bookmarkEnd w:id="188"/>
    <w:bookmarkEnd w:id="189"/>
    <w:bookmarkStart w:id="194"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“https://apex.psmfc.org/akfin/data_marts/gap_products/gap_[base table name]”</w:t>
      </w:r>
      <w:r>
        <w:t xml:space="preserve"> </w:t>
      </w:r>
      <w:r>
        <w:t xml:space="preserve">. For example</w:t>
      </w:r>
      <w:r>
        <w:t xml:space="preserve"> </w:t>
      </w:r>
      <w:r>
        <w:t xml:space="preserve">“https://apex.psmfc.org/akfin/data_marts/gap_products/gap_biomass”</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“https://apex.psmfc.org/akfin/data_marts/gap_products/gap_biomass?survey_definition_id=98&amp;area_id=10&amp;species_code=21740&amp;start_year=2022&amp;end_year=2022”</w:t>
      </w:r>
      <w:r>
        <w:t xml:space="preserve">.</w:t>
      </w:r>
    </w:p>
    <w:p>
      <w:pPr>
        <w:pStyle w:val="BodyText"/>
      </w:pPr>
      <w:r>
        <w:t xml:space="preserve">If you’re using R to pull data through web services you might find the</w:t>
      </w:r>
      <w:r>
        <w:t xml:space="preserve"> </w:t>
      </w:r>
      <w:hyperlink r:id="rId190">
        <w:r>
          <w:rPr>
            <w:rStyle w:val="Hyperlink"/>
          </w:rPr>
          <w:t xml:space="preserve">akfingapdata</w:t>
        </w:r>
      </w:hyperlink>
      <w:r>
        <w:t xml:space="preserve"> </w:t>
      </w:r>
      <w:r>
        <w:t xml:space="preserve">(pronounced</w:t>
      </w:r>
      <w:r>
        <w:t xml:space="preserve"> </w:t>
      </w:r>
      <w:r>
        <w:rPr>
          <w:b/>
          <w:bCs/>
        </w:rPr>
        <w:t xml:space="preserve">akfin-gap-data</w:t>
      </w:r>
      <w:r>
        <w:t xml:space="preserve"> </w:t>
      </w:r>
      <w:r>
        <w:t xml:space="preserve">not</w:t>
      </w:r>
      <w:r>
        <w:t xml:space="preserve"> </w:t>
      </w:r>
      <w:r>
        <w:rPr>
          <w:b/>
          <w:bCs/>
        </w:rPr>
        <w:t xml:space="preserve">ak-eff-ing-app-data</w:t>
      </w:r>
      <w:r>
        <w:t xml:space="preserve">) R package helpful.</w:t>
      </w:r>
    </w:p>
    <w:bookmarkStart w:id="191" w:name="load-packages-and-helpful-functions"/>
    <w:p>
      <w:pPr>
        <w:pStyle w:val="Heading3"/>
      </w:pPr>
      <w:r>
        <w:t xml:space="preserve">10.0.1 Load packages and helpful functions</w:t>
      </w:r>
    </w:p>
    <w:bookmarkEnd w:id="191"/>
    <w:bookmarkStart w:id="193" w:name="X140b60cdc84ba3664d855964c4e715b783cc0e4"/>
    <w:p>
      <w:pPr>
        <w:pStyle w:val="Heading2"/>
      </w:pPr>
      <w:r>
        <w:t xml:space="preserve">10.1 Ex. Direct database query in R using the</w:t>
      </w:r>
      <w:r>
        <w:t xml:space="preserve"> </w:t>
      </w:r>
      <w:hyperlink r:id="rId192">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3"/>
    <w:bookmarkEnd w:id="194"/>
    <w:bookmarkStart w:id="204"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3" w:name="data-tables-2"/>
    <w:p>
      <w:pPr>
        <w:pStyle w:val="Heading2"/>
      </w:pPr>
      <w:r>
        <w:t xml:space="preserve">11.1 Data tables</w:t>
      </w:r>
    </w:p>
    <w:bookmarkStart w:id="198"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889,550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
          <w:bCs/>
        </w:rPr>
        <w:t xml:space="preserve">High</w:t>
      </w:r>
      <w:r>
        <w:t xml:space="preserve">: High confidence and consistency. Taxonomy is stable and reliable at this level, and field identification characteristics are well known and reliable.</w:t>
      </w:r>
      <w:r>
        <w:t xml:space="preserve"> </w:t>
      </w:r>
      <w:r>
        <w:rPr>
          <w:b/>
          <w:bCs/>
        </w:rPr>
        <w:t xml:space="preserve">Moderate</w:t>
      </w:r>
      <w:r>
        <w:t xml:space="preserve">: Moderate confidence. Taxonomy may be questionable at this level, or field identification characteristics may be variable and difficult to assess consistently.</w:t>
      </w:r>
      <w:r>
        <w:t xml:space="preserve"> </w:t>
      </w:r>
      <w:r>
        <w:rPr>
          <w:b/>
          <w:bCs/>
        </w:rPr>
        <w:t xml:space="preserve">Low</w:t>
      </w:r>
      <w:r>
        <w:t xml:space="preserve">: Low confidence. Taxonomy is incompletely known, or reliable field identification characteristics are unknown. Documentation:</w:t>
      </w:r>
      <w:r>
        <w:t xml:space="preserve"> </w:t>
      </w:r>
      <w:hyperlink r:id="rId195">
        <w:r>
          <w:rPr>
            <w:rStyle w:val="Hyperlink"/>
          </w:rPr>
          <w:t xml:space="preserve">Species identification confidence in the eastern Bering Sea shelf survey (1982-2008)</w:t>
        </w:r>
      </w:hyperlink>
      <w:r>
        <w:t xml:space="preserve">,</w:t>
      </w:r>
      <w:r>
        <w:t xml:space="preserve"> </w:t>
      </w:r>
      <w:hyperlink r:id="rId196">
        <w:r>
          <w:rPr>
            <w:rStyle w:val="Hyperlink"/>
          </w:rPr>
          <w:t xml:space="preserve">Species identification confidence in the eastern Bering Sea slope survey (1976-2010)</w:t>
        </w:r>
      </w:hyperlink>
      <w:r>
        <w:t xml:space="preserve">, and</w:t>
      </w:r>
      <w:r>
        <w:t xml:space="preserve"> </w:t>
      </w:r>
      <w:hyperlink r:id="rId197">
        <w:r>
          <w:rPr>
            <w:rStyle w:val="Hyperlink"/>
          </w:rPr>
          <w:t xml:space="preserve">Species identification confidence in the Gulf of Alaska and Aleutian Islands surveys (1980-2011)</w:t>
        </w:r>
      </w:hyperlink>
      <w:r>
        <w:t xml:space="preserve">.</w:t>
      </w:r>
    </w:p>
    <w:bookmarkEnd w:id="198"/>
    <w:bookmarkStart w:id="199"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33,921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bookmarkEnd w:id="199"/>
    <w:bookmarkStart w:id="200"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2">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0"/>
    <w:bookmarkStart w:id="201"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bookmarkEnd w:id="201"/>
    <w:bookmarkStart w:id="202"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202"/>
    <w:bookmarkEnd w:id="203"/>
    <w:bookmarkEnd w:id="204"/>
    <w:bookmarkStart w:id="233" w:name="using-the-foss-platform"/>
    <w:p>
      <w:pPr>
        <w:pStyle w:val="Heading1"/>
      </w:pPr>
      <w:r>
        <w:t xml:space="preserve">12. Using the FOSS platform</w:t>
      </w:r>
    </w:p>
    <w:bookmarkStart w:id="222"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6" name="Picture"/>
            <a:graphic>
              <a:graphicData uri="http://schemas.openxmlformats.org/drawingml/2006/picture">
                <pic:pic>
                  <pic:nvPicPr>
                    <pic:cNvPr descr="content/../img/foss_1_interface.png" id="207" name="Picture"/>
                    <pic:cNvPicPr>
                      <a:picLocks noChangeArrowheads="1" noChangeAspect="1"/>
                    </pic:cNvPicPr>
                  </pic:nvPicPr>
                  <pic:blipFill>
                    <a:blip r:embed="rId205"/>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8">
        <w:r>
          <w:rPr>
            <w:rStyle w:val="Hyperlink"/>
          </w:rPr>
          <w:t xml:space="preserve">Fisheries One Stop Shop (FOSS)</w:t>
        </w:r>
      </w:hyperlink>
      <w:r>
        <w:t xml:space="preserve"> </w:t>
      </w:r>
      <w:r>
        <w:t xml:space="preserve">platform. A user guide for the FOSS platform can be found</w:t>
      </w:r>
      <w:r>
        <w:t xml:space="preserve"> </w:t>
      </w:r>
      <w:hyperlink r:id="rId20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“cod”</w:t>
      </w:r>
      <w:r>
        <w:t xml:space="preserve"> </w:t>
      </w:r>
      <w:r>
        <w:t xml:space="preserve">in their common names and selected</w:t>
      </w:r>
      <w:r>
        <w:t xml:space="preserve"> </w:t>
      </w:r>
      <w:r>
        <w:t xml:space="preserve">“Pacific cod”</w:t>
      </w:r>
      <w:r>
        <w:t xml:space="preserve"> </w:t>
      </w:r>
      <w:r>
        <w:t xml:space="preserve">from that shortened list.</w:t>
      </w:r>
    </w:p>
    <w:bookmarkStart w:id="213"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catch.png" id="212" name="Picture"/>
                    <pic:cNvPicPr>
                      <a:picLocks noChangeArrowheads="1" noChangeAspect="1"/>
                    </pic:cNvPicPr>
                  </pic:nvPicPr>
                  <pic:blipFill>
                    <a:blip r:embed="rId210"/>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3"/>
    <w:bookmarkStart w:id="217"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haul.png" id="216" name="Picture"/>
                    <pic:cNvPicPr>
                      <a:picLocks noChangeArrowheads="1" noChangeAspect="1"/>
                    </pic:cNvPicPr>
                  </pic:nvPicPr>
                  <pic:blipFill>
                    <a:blip r:embed="rId214"/>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7"/>
    <w:bookmarkStart w:id="221"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9" name="Picture"/>
            <a:graphic>
              <a:graphicData uri="http://schemas.openxmlformats.org/drawingml/2006/picture">
                <pic:pic>
                  <pic:nvPicPr>
                    <pic:cNvPr descr="content/../img/foss_1_interface_species.png" id="220" name="Picture"/>
                    <pic:cNvPicPr>
                      <a:picLocks noChangeArrowheads="1" noChangeAspect="1"/>
                    </pic:cNvPicPr>
                  </pic:nvPicPr>
                  <pic:blipFill>
                    <a:blip r:embed="rId218"/>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1"/>
    <w:bookmarkEnd w:id="222"/>
    <w:bookmarkStart w:id="227"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pStyle w:val="Compact"/>
        <w:numPr>
          <w:ilvl w:val="0"/>
          <w:numId w:val="1011"/>
        </w:numPr>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3">
        <w:r>
          <w:rPr>
            <w:rStyle w:val="Hyperlink"/>
          </w:rPr>
          <w:t xml:space="preserve">annual data reports</w:t>
        </w:r>
      </w:hyperlink>
      <w:r>
        <w:t xml:space="preserve">.</w:t>
      </w:r>
    </w:p>
    <w:p>
      <w:pPr>
        <w:pStyle w:val="Compact"/>
        <w:numPr>
          <w:ilvl w:val="0"/>
          <w:numId w:val="1011"/>
        </w:numPr>
      </w:pPr>
      <w:r>
        <w:rPr>
          <w:rStyle w:val="VerbatimChar"/>
        </w:rPr>
        <w:t xml:space="preserve">Year</w:t>
      </w:r>
      <w:r>
        <w:t xml:space="preserve">: Surveys are not conducted in all years, so only data from the years for which the survey was conducted will be returned.</w:t>
      </w:r>
    </w:p>
    <w:p>
      <w:pPr>
        <w:pStyle w:val="Compact"/>
        <w:numPr>
          <w:ilvl w:val="0"/>
          <w:numId w:val="1011"/>
        </w:numPr>
      </w:pPr>
      <w:r>
        <w:rPr>
          <w:rStyle w:val="VerbatimChar"/>
        </w:rPr>
        <w:t xml:space="preserve">Species</w:t>
      </w:r>
      <w:r>
        <w:t xml:space="preserve">: Common name of all species ever encountered in the survey. Find more information about these species in our</w:t>
      </w:r>
      <w:r>
        <w:t xml:space="preserve"> </w:t>
      </w:r>
      <w:hyperlink r:id="rId12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“selection box”</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5" name="Picture"/>
            <a:graphic>
              <a:graphicData uri="http://schemas.openxmlformats.org/drawingml/2006/picture">
                <pic:pic>
                  <pic:nvPicPr>
                    <pic:cNvPr descr="content/../img/foss_2_catch_select_species.png" id="226" name="Picture"/>
                    <pic:cNvPicPr>
                      <a:picLocks noChangeArrowheads="1" noChangeAspect="1"/>
                    </pic:cNvPicPr>
                  </pic:nvPicPr>
                  <pic:blipFill>
                    <a:blip r:embed="rId224"/>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7"/>
    <w:bookmarkStart w:id="231"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9" name="Picture"/>
            <a:graphic>
              <a:graphicData uri="http://schemas.openxmlformats.org/drawingml/2006/picture">
                <pic:pic>
                  <pic:nvPicPr>
                    <pic:cNvPr descr="content/../img/foss_3_run_report.png" id="230" name="Picture"/>
                    <pic:cNvPicPr>
                      <a:picLocks noChangeArrowheads="1" noChangeAspect="1"/>
                    </pic:cNvPicPr>
                  </pic:nvPicPr>
                  <pic:blipFill>
                    <a:blip r:embed="rId228"/>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1"/>
    <w:bookmarkStart w:id="232"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2"/>
    <w:bookmarkEnd w:id="233"/>
    <w:bookmarkStart w:id="237" w:name="use-data"/>
    <w:p>
      <w:pPr>
        <w:pStyle w:val="Heading1"/>
      </w:pPr>
      <w:r>
        <w:t xml:space="preserve">13. Use data</w:t>
      </w:r>
    </w:p>
    <w:p>
      <w:pPr>
        <w:pStyle w:val="FirstParagraph"/>
      </w:pPr>
      <w:r>
        <w:t xml:space="preserve">Learn how to pull and use this data through the</w:t>
      </w:r>
    </w:p>
    <w:p>
      <w:pPr>
        <w:pStyle w:val="Compact"/>
        <w:numPr>
          <w:ilvl w:val="0"/>
          <w:numId w:val="1012"/>
        </w:numPr>
      </w:pPr>
      <w:hyperlink r:id="rId234">
        <w:r>
          <w:rPr>
            <w:rStyle w:val="Hyperlink"/>
          </w:rPr>
          <w:t xml:space="preserve">API and R programming language</w:t>
        </w:r>
      </w:hyperlink>
    </w:p>
    <w:p>
      <w:pPr>
        <w:pStyle w:val="Compact"/>
        <w:numPr>
          <w:ilvl w:val="0"/>
          <w:numId w:val="1012"/>
        </w:numPr>
      </w:pPr>
      <w:hyperlink r:id="rId23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pStyle w:val="Compact"/>
        <w:numPr>
          <w:ilvl w:val="0"/>
          <w:numId w:val="1012"/>
        </w:numPr>
      </w:pPr>
      <w:hyperlink r:id="rId236">
        <w:r>
          <w:rPr>
            <w:rStyle w:val="Hyperlink"/>
          </w:rPr>
          <w:t xml:space="preserve">Oracle and R programming language (AFSC scientists only)</w:t>
        </w:r>
      </w:hyperlink>
    </w:p>
    <w:bookmarkEnd w:id="237"/>
    <w:bookmarkStart w:id="276" w:name="access-via-api-and-r"/>
    <w:p>
      <w:pPr>
        <w:pStyle w:val="Heading1"/>
      </w:pPr>
      <w:r>
        <w:t xml:space="preserve">14. Access via API and R</w:t>
      </w:r>
    </w:p>
    <w:p>
      <w:pPr>
        <w:pStyle w:val="FirstParagraph"/>
      </w:pPr>
      <w:r>
        <w:rPr>
          <w:b/>
          <w:bCs/>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0">
        <w:r>
          <w:rPr>
            <w:rStyle w:val="Hyperlink"/>
          </w:rPr>
          <w:t xml:space="preserve">FOSS data description page</w:t>
        </w:r>
      </w:hyperlink>
      <w:r>
        <w:t xml:space="preserve">. Here, you can see them in their raw JSON format:</w:t>
      </w:r>
    </w:p>
    <w:p>
      <w:pPr>
        <w:pStyle w:val="Compact"/>
        <w:numPr>
          <w:ilvl w:val="0"/>
          <w:numId w:val="1013"/>
        </w:numPr>
      </w:pPr>
      <w:r>
        <w:t xml:space="preserve">haul:</w:t>
      </w:r>
      <w:r>
        <w:t xml:space="preserve"> </w:t>
      </w:r>
      <w:hyperlink r:id="rId241">
        <w:r>
          <w:rPr>
            <w:rStyle w:val="Hyperlink"/>
          </w:rPr>
          <w:t xml:space="preserve">https://apps-st.fisheries.noaa.gov/ods/foss/afsc_groundfish_survey_haul/</w:t>
        </w:r>
      </w:hyperlink>
    </w:p>
    <w:p>
      <w:pPr>
        <w:pStyle w:val="Compact"/>
        <w:numPr>
          <w:ilvl w:val="0"/>
          <w:numId w:val="1013"/>
        </w:numPr>
      </w:pPr>
      <w:r>
        <w:t xml:space="preserve">catch:</w:t>
      </w:r>
      <w:r>
        <w:t xml:space="preserve"> </w:t>
      </w:r>
      <w:hyperlink r:id="rId242">
        <w:r>
          <w:rPr>
            <w:rStyle w:val="Hyperlink"/>
          </w:rPr>
          <w:t xml:space="preserve">https://apps-st.fisheries.noaa.gov/ods/foss/afsc_groundfish_survey_catch/</w:t>
        </w:r>
      </w:hyperlink>
    </w:p>
    <w:p>
      <w:pPr>
        <w:pStyle w:val="Compact"/>
        <w:numPr>
          <w:ilvl w:val="0"/>
          <w:numId w:val="1013"/>
        </w:numPr>
      </w:pPr>
      <w:r>
        <w:t xml:space="preserve">species:</w:t>
      </w:r>
      <w:r>
        <w:t xml:space="preserve"> </w:t>
      </w:r>
      <w:hyperlink r:id="rId243">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1"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6"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4"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4"/>
    <w:bookmarkStart w:id="245"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5"/>
    <w:bookmarkEnd w:id="246"/>
    <w:bookmarkStart w:id="249"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7"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7"/>
    <w:bookmarkStart w:id="248"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8"/>
    <w:bookmarkEnd w:id="249"/>
    <w:bookmarkStart w:id="250"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0"/>
    <w:bookmarkEnd w:id="251"/>
    <w:bookmarkStart w:id="252"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2"/>
    <w:bookmarkStart w:id="262"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4,573.617</w:t>
            </w:r>
          </w:p>
        </w:tc>
      </w:tr>
    </w:tbl>
    <w:bookmarkStart w:id="256"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4" name="Picture"/>
            <a:graphic>
              <a:graphicData uri="http://schemas.openxmlformats.org/drawingml/2006/picture">
                <pic:pic>
                  <pic:nvPicPr>
                    <pic:cNvPr descr="content/foss-api-r_files/figure-docx/pollock-multi-loc-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Start w:id="261"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8">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7">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CommentTok"/>
        </w:rPr>
        <w:t xml:space="preserve"># include.corners = TRUE,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9" name="Picture"/>
            <a:graphic>
              <a:graphicData uri="http://schemas.openxmlformats.org/drawingml/2006/picture">
                <pic:pic>
                  <pic:nvPicPr>
                    <pic:cNvPr descr="content/foss-api-r_files/figure-docx/pollock-multi-idw-1.png" id="260" name="Picture"/>
                    <pic:cNvPicPr>
                      <a:picLocks noChangeArrowheads="1" noChangeAspect="1"/>
                    </pic:cNvPicPr>
                  </pic:nvPicPr>
                  <pic:blipFill>
                    <a:blip r:embed="rId258"/>
                    <a:stretch>
                      <a:fillRect/>
                    </a:stretch>
                  </pic:blipFill>
                  <pic:spPr bwMode="auto">
                    <a:xfrm>
                      <a:off x="0" y="0"/>
                      <a:ext cx="5544151" cy="7392202"/>
                    </a:xfrm>
                    <a:prstGeom prst="rect">
                      <a:avLst/>
                    </a:prstGeom>
                    <a:noFill/>
                    <a:ln w="9525">
                      <a:noFill/>
                      <a:headEnd/>
                      <a:tailEnd/>
                    </a:ln>
                  </pic:spPr>
                </pic:pic>
              </a:graphicData>
            </a:graphic>
          </wp:inline>
        </w:drawing>
      </w:r>
    </w:p>
    <w:bookmarkEnd w:id="261"/>
    <w:bookmarkEnd w:id="262"/>
    <w:bookmarkStart w:id="267"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bookmarkStart w:id="263"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“Pacific”</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“walleye”</w:t>
      </w:r>
      <w:r>
        <w:t xml:space="preserve"> </w:t>
      </w:r>
      <w:r>
        <w:t xml:space="preserve">and</w:t>
      </w:r>
      <w:r>
        <w:t xml:space="preserve"> </w:t>
      </w:r>
      <w:r>
        <w:t xml:space="preserve">“pollock”</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3"/>
    <w:bookmarkStart w:id="264"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4"/>
    <w:bookmarkStart w:id="265"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5"/>
    <w:bookmarkStart w:id="266"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6"/>
    <w:bookmarkEnd w:id="267"/>
    <w:bookmarkStart w:id="275"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1-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Start w:id="274"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2" name="Picture"/>
            <a:graphic>
              <a:graphicData uri="http://schemas.openxmlformats.org/drawingml/2006/picture">
                <pic:pic>
                  <pic:nvPicPr>
                    <pic:cNvPr descr="content/foss-api-r_files/figure-docx/pollock-multi2-loc-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End w:id="275"/>
    <w:bookmarkEnd w:id="276"/>
    <w:bookmarkStart w:id="290" w:name="access-via-api-and-python"/>
    <w:p>
      <w:pPr>
        <w:pStyle w:val="Heading1"/>
      </w:pPr>
      <w:r>
        <w:t xml:space="preserve">15. Access via API and Python</w:t>
      </w:r>
    </w:p>
    <w:bookmarkStart w:id="278"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7">
        <w:r>
          <w:rPr>
            <w:rStyle w:val="Hyperlink"/>
          </w:rPr>
          <w:t xml:space="preserve">library documentation</w:t>
        </w:r>
      </w:hyperlink>
      <w:r>
        <w:t xml:space="preserve">.</w:t>
      </w:r>
    </w:p>
    <w:bookmarkEnd w:id="278"/>
    <w:bookmarkStart w:id="280" w:name="basic-query"/>
    <w:p>
      <w:pPr>
        <w:pStyle w:val="Heading3"/>
      </w:pPr>
      <w:r>
        <w:t xml:space="preserve">15.0.2 Basic query</w:t>
      </w:r>
    </w:p>
    <w:p>
      <w:pPr>
        <w:pStyle w:val="FirstParagraph"/>
      </w:pPr>
      <w:r>
        <w:t xml:space="preserve">This first example queries for Pacific glass shrimp (</w:t>
      </w:r>
      <w:r>
        <w:rPr>
          <w:i/>
          <w:iCs/>
        </w:rPr>
        <w:t xml:space="preserve">Pasiphaea pacifica</w:t>
      </w:r>
      <w:r>
        <w:t xml:space="preserve">) in the Gulf of Alaska in 2021. The library will automatically generate HTTP queries, converting from Python types to</w:t>
      </w:r>
      <w:r>
        <w:t xml:space="preserve"> </w:t>
      </w:r>
      <w:hyperlink r:id="rId27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0"/>
    <w:bookmarkStart w:id="281"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“presence-only”</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1"/>
    <w:bookmarkStart w:id="282"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2"/>
    <w:bookmarkStart w:id="284"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4"/>
    <w:bookmarkStart w:id="286"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5">
        <w:r>
          <w:rPr>
            <w:rStyle w:val="Hyperlink"/>
          </w:rPr>
          <w:t xml:space="preserve">manual filtering</w:t>
        </w:r>
      </w:hyperlink>
      <w:r>
        <w:t xml:space="preserve">.</w:t>
      </w:r>
    </w:p>
    <w:bookmarkEnd w:id="286"/>
    <w:bookmarkStart w:id="287"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“zero catch”</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ayout w:type="fixed"/>
        <w:tblLook w:firstRow="1" w:lastRow="0" w:firstColumn="0" w:lastColumn="0" w:noHBand="0" w:noVBand="0" w:val="0020"/>
      </w:tblPr>
      <w:tblGrid>
        <w:gridCol w:w="1274"/>
        <w:gridCol w:w="3277"/>
        <w:gridCol w:w="3368"/>
      </w:tblGrid>
      <w:tr>
        <w:trPr>
          <w:tblHeader w:val="on"/>
        </w:trPr>
        <w:tc>
          <w:tcPr/>
          <w:p>
            <w:pPr>
              <w:pStyle w:val="Compact"/>
            </w:pPr>
            <w:r>
              <w:t xml:space="preserve">Rounded CPUE</w:t>
            </w:r>
          </w:p>
        </w:tc>
        <w:tc>
          <w:tcPr/>
          <w:p>
            <w:pPr>
              <w:pStyle w:val="Compact"/>
            </w:pPr>
            <w:r>
              <w:t xml:space="preserve">Count with set_presence_only(True)</w:t>
            </w:r>
          </w:p>
        </w:tc>
        <w:tc>
          <w:tcPr/>
          <w:p>
            <w:pPr>
              <w:pStyle w:val="Compact"/>
            </w:pPr>
            <w:r>
              <w:t xml:space="preserve">Count with set_presence_only(False)</w:t>
            </w:r>
          </w:p>
        </w:tc>
      </w:tr>
      <w:tr>
        <w:tc>
          <w:tcPr/>
          <w:p>
            <w:pPr>
              <w:pStyle w:val="Compact"/>
            </w:pPr>
            <w:r>
              <w:t xml:space="preserve">0 kg/ha</w:t>
            </w:r>
          </w:p>
        </w:tc>
        <w:tc>
          <w:tcPr/>
          <w:p>
            <w:pPr>
              <w:pStyle w:val="Compact"/>
            </w:pPr>
            <w:r>
              <w:t xml:space="preserve">44</w:t>
            </w:r>
          </w:p>
        </w:tc>
        <w:tc>
          <w:tcPr/>
          <w:p>
            <w:pPr>
              <w:pStyle w:val="Compact"/>
            </w:pPr>
            <w:r>
              <w:t xml:space="preserve">521</w:t>
            </w:r>
          </w:p>
        </w:tc>
      </w:tr>
      <w:tr>
        <w:tc>
          <w:tcPr/>
          <w:p>
            <w:pPr>
              <w:pStyle w:val="Compact"/>
            </w:pPr>
            <w:r>
              <w:t xml:space="preserve">1 kg/ha</w:t>
            </w:r>
          </w:p>
        </w:tc>
        <w:tc>
          <w:tcPr/>
          <w:p>
            <w:pPr>
              <w:pStyle w:val="Compact"/>
            </w:pPr>
            <w:r>
              <w:t xml:space="preserve">7</w:t>
            </w:r>
          </w:p>
        </w:tc>
        <w:tc>
          <w:tcPr/>
          <w:p>
            <w:pPr>
              <w:pStyle w:val="Compact"/>
            </w:pPr>
            <w:r>
              <w:t xml:space="preserve">7</w:t>
            </w:r>
          </w:p>
        </w:tc>
      </w:tr>
      <w:tr>
        <w:tc>
          <w:tcPr/>
          <w:p>
            <w:pPr>
              <w:pStyle w:val="Compact"/>
            </w:pPr>
            <w:r>
              <w:t xml:space="preserve">2 kg/ha</w:t>
            </w:r>
          </w:p>
        </w:tc>
        <w:tc>
          <w:tcPr/>
          <w:p>
            <w:pPr>
              <w:pStyle w:val="Compact"/>
            </w:pPr>
            <w:r>
              <w:t xml:space="preserve">1</w:t>
            </w:r>
          </w:p>
        </w:tc>
        <w:tc>
          <w:tcPr/>
          <w:p>
            <w:pPr>
              <w:pStyle w:val="Compac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7"/>
    <w:bookmarkStart w:id="289" w:name="more-information"/>
    <w:p>
      <w:pPr>
        <w:pStyle w:val="Heading3"/>
      </w:pPr>
      <w:r>
        <w:t xml:space="preserve">15.0.8 More information</w:t>
      </w:r>
    </w:p>
    <w:p>
      <w:pPr>
        <w:pStyle w:val="FirstParagraph"/>
      </w:pPr>
      <w:r>
        <w:t xml:space="preserve">Please see the</w:t>
      </w:r>
      <w:r>
        <w:t xml:space="preserve"> </w:t>
      </w:r>
      <w:hyperlink r:id="rId288">
        <w:r>
          <w:rPr>
            <w:rStyle w:val="Hyperlink"/>
          </w:rPr>
          <w:t xml:space="preserve">API documentation</w:t>
        </w:r>
      </w:hyperlink>
      <w:r>
        <w:t xml:space="preserve"> </w:t>
      </w:r>
      <w:r>
        <w:t xml:space="preserve">for the Python library for additional details.</w:t>
      </w:r>
    </w:p>
    <w:bookmarkEnd w:id="289"/>
    <w:bookmarkEnd w:id="290"/>
    <w:bookmarkStart w:id="296"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1"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1"/>
    <w:bookmarkStart w:id="292"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2"/>
    <w:bookmarkStart w:id="293"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3"/>
    <w:bookmarkStart w:id="294"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2,910.6057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63.736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08:17:51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-158.4166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0.03676211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4,048.8473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1,182.5116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10:49:21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0.04143723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964.1577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288.0806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13:32:46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58.00947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0.04165501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w:t>
            </w:r>
          </w:p>
        </w:tc>
      </w:tr>
    </w:tbl>
    <w:bookmarkEnd w:id="294"/>
    <w:bookmarkStart w:id="295"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1,577,324</w:t>
            </w:r>
          </w:p>
        </w:tc>
      </w:tr>
    </w:tbl>
    <w:bookmarkEnd w:id="295"/>
    <w:bookmarkEnd w:id="296"/>
    <w:bookmarkStart w:id="305" w:name="open-source-code"/>
    <w:p>
      <w:pPr>
        <w:pStyle w:val="Heading1"/>
      </w:pPr>
      <w:r>
        <w:t xml:space="preserve">17. Open source code</w:t>
      </w:r>
    </w:p>
    <w:bookmarkStart w:id="304" w:name="r-packages"/>
    <w:p>
      <w:pPr>
        <w:pStyle w:val="Heading2"/>
      </w:pPr>
      <w:r>
        <w:t xml:space="preserve">17.1 R Packages</w:t>
      </w:r>
    </w:p>
    <w:bookmarkStart w:id="297" w:name="akgfmaps-r-package"/>
    <w:p>
      <w:pPr>
        <w:pStyle w:val="Heading3"/>
      </w:pPr>
      <w:r>
        <w:t xml:space="preserve">17.1.1</w:t>
      </w:r>
      <w:r>
        <w:t xml:space="preserve"> </w:t>
      </w:r>
      <w:hyperlink r:id="rId158">
        <w:r>
          <w:rPr>
            <w:rStyle w:val="Hyperlink"/>
          </w:rPr>
          <w:t xml:space="preserve">akgfmaps R package</w:t>
        </w:r>
      </w:hyperlink>
    </w:p>
    <w:p>
      <w:pPr>
        <w:pStyle w:val="FirstParagraph"/>
      </w:pPr>
      <w:r>
        <w:t xml:space="preserve">Bttom trawl survey maps layers and plotting examples.</w:t>
      </w:r>
      <w:r>
        <w:t xml:space="preserve"> </w:t>
      </w:r>
      <w:r>
        <w:rPr>
          <w:b/>
          <w:bCs/>
        </w:rPr>
        <w:t xml:space="preserve">POC:</w:t>
      </w:r>
      <w:r>
        <w:t xml:space="preserve"> </w:t>
      </w:r>
      <w:r>
        <w:t xml:space="preserve">Sean Rohan</w:t>
      </w:r>
    </w:p>
    <w:bookmarkEnd w:id="297"/>
    <w:bookmarkStart w:id="299" w:name="coldpool-r-package"/>
    <w:p>
      <w:pPr>
        <w:pStyle w:val="Heading3"/>
      </w:pPr>
      <w:r>
        <w:t xml:space="preserve">17.1.2</w:t>
      </w:r>
      <w:r>
        <w:t xml:space="preserve"> </w:t>
      </w:r>
      <w:hyperlink r:id="rId298">
        <w:r>
          <w:rPr>
            <w:rStyle w:val="Hyperlink"/>
          </w:rPr>
          <w:t xml:space="preserve">coldpool R package</w:t>
        </w:r>
      </w:hyperlink>
    </w:p>
    <w:p>
      <w:pPr>
        <w:pStyle w:val="FirstParagraph"/>
      </w:pPr>
      <w:r>
        <w:t xml:space="preserve">Cold pool area and temperature data products for the Bering Sea.</w:t>
      </w:r>
      <w:r>
        <w:t xml:space="preserve"> </w:t>
      </w:r>
      <w:r>
        <w:rPr>
          <w:b/>
          <w:bCs/>
        </w:rPr>
        <w:t xml:space="preserve">POC:</w:t>
      </w:r>
      <w:r>
        <w:t xml:space="preserve"> </w:t>
      </w:r>
      <w:r>
        <w:t xml:space="preserve">Sean Rohan</w:t>
      </w:r>
    </w:p>
    <w:bookmarkEnd w:id="299"/>
    <w:bookmarkStart w:id="301" w:name="akfishcondition-r-package"/>
    <w:p>
      <w:pPr>
        <w:pStyle w:val="Heading3"/>
      </w:pPr>
      <w:r>
        <w:t xml:space="preserve">17.1.3</w:t>
      </w:r>
      <w:r>
        <w:t xml:space="preserve"> </w:t>
      </w:r>
      <w:hyperlink r:id="rId30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
          <w:bCs/>
        </w:rPr>
        <w:t xml:space="preserve">POC:</w:t>
      </w:r>
      <w:r>
        <w:t xml:space="preserve"> </w:t>
      </w:r>
      <w:r>
        <w:t xml:space="preserve">Sean Rohan</w:t>
      </w:r>
    </w:p>
    <w:bookmarkEnd w:id="301"/>
    <w:bookmarkStart w:id="303" w:name="gapindex-r-package"/>
    <w:p>
      <w:pPr>
        <w:pStyle w:val="Heading3"/>
      </w:pPr>
      <w:r>
        <w:t xml:space="preserve">17.1.4</w:t>
      </w:r>
      <w:r>
        <w:t xml:space="preserve"> </w:t>
      </w:r>
      <w:hyperlink r:id="rId30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
          <w:bCs/>
        </w:rPr>
        <w:t xml:space="preserve">POC:</w:t>
      </w:r>
      <w:r>
        <w:t xml:space="preserve"> </w:t>
      </w:r>
      <w:r>
        <w:t xml:space="preserve">Zack Oyafuso and Margaret Siple</w:t>
      </w:r>
    </w:p>
    <w:bookmarkEnd w:id="303"/>
    <w:bookmarkEnd w:id="304"/>
    <w:bookmarkEnd w:id="305"/>
    <w:bookmarkStart w:id="306" w:name="production-run-notes"/>
    <w:p>
      <w:pPr>
        <w:pStyle w:val="Heading1"/>
      </w:pPr>
      <w:r>
        <w:t xml:space="preserve">18. Production run notes</w:t>
      </w:r>
    </w:p>
    <w:p>
      <w:pPr>
        <w:pStyle w:val="BlockText"/>
      </w:pPr>
      <w:r>
        <w:t xml:space="preserve">Report run date: Saturday, June 07, 2025</w:t>
      </w:r>
    </w:p>
    <w:bookmarkEnd w:id="306"/>
    <w:bookmarkStart w:id="309" w:name="r-version-metadata"/>
    <w:p>
      <w:pPr>
        <w:pStyle w:val="Heading1"/>
      </w:pPr>
      <w:r>
        <w:t xml:space="preserve">19. R Version Metadata</w:t>
      </w:r>
    </w:p>
    <w:p>
      <w:pPr>
        <w:pStyle w:val="SourceCode"/>
      </w:pPr>
      <w:r>
        <w:rPr>
          <w:rStyle w:val="VerbatimChar"/>
        </w:rPr>
        <w:t xml:space="preserve">R version 4.5.0 (2025-04-11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compiler_4.5.0    fastmap_1.2.0     cli_3.6.5         tools_4.5.0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rlang_1.1.6       evaluate_1.0.3   </w:t>
      </w:r>
    </w:p>
    <w:bookmarkStart w:id="307"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7"/>
    <w:bookmarkStart w:id="308"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8"/>
    <w:bookmarkEnd w:id="309"/>
    <w:bookmarkStart w:id="310" w:name="acknowledgments"/>
    <w:p>
      <w:pPr>
        <w:pStyle w:val="Heading1"/>
      </w:pPr>
      <w:r>
        <w:t xml:space="preserve">20. Acknowledgments</w:t>
      </w:r>
    </w:p>
    <w:bookmarkEnd w:id="310"/>
    <w:bookmarkStart w:id="311"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1"/>
    <w:bookmarkStart w:id="312"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2"/>
    <w:bookmarkStart w:id="324" w:name="technical-acknowledgments"/>
    <w:p>
      <w:pPr>
        <w:pStyle w:val="Heading1"/>
      </w:pPr>
      <w:r>
        <w:t xml:space="preserve">23. Technical Acknowledgments</w:t>
      </w:r>
    </w:p>
    <w:p>
      <w:pPr>
        <w:pStyle w:val="FirstParagraph"/>
      </w:pPr>
      <w:r>
        <w:t xml:space="preserve">This quarto book is based off the</w:t>
      </w:r>
      <w:r>
        <w:t xml:space="preserve"> </w:t>
      </w:r>
      <w:hyperlink r:id="rId31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4">
        <w:r>
          <w:rPr>
            <w:rStyle w:val="Hyperlink"/>
          </w:rPr>
          <w:t xml:space="preserve">quarto-website-tutorial</w:t>
        </w:r>
      </w:hyperlink>
      <w:r>
        <w:t xml:space="preserve"> </w:t>
      </w:r>
      <w:r>
        <w:t xml:space="preserve">by Julia Lowndes and Stefanie Butland.</w:t>
      </w:r>
    </w:p>
    <w:bookmarkStart w:id="315"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5"/>
    <w:bookmarkStart w:id="323" w:name="collaborators"/>
    <w:p>
      <w:pPr>
        <w:pStyle w:val="Heading2"/>
      </w:pPr>
      <w:r>
        <w:t xml:space="preserve">23.2 Collaborators</w:t>
      </w:r>
    </w:p>
    <w:p>
      <w:pPr>
        <w:pStyle w:val="FirstParagraph"/>
      </w:pPr>
      <w:r>
        <w:t xml:space="preserve">Our data are used in many annual publications, including but not limited to the list below:</w:t>
      </w:r>
    </w:p>
    <w:p>
      <w:pPr>
        <w:pStyle w:val="Compact"/>
        <w:numPr>
          <w:ilvl w:val="0"/>
          <w:numId w:val="1014"/>
        </w:numPr>
      </w:pPr>
      <w:hyperlink r:id="rId316">
        <w:r>
          <w:rPr>
            <w:rStyle w:val="Hyperlink"/>
          </w:rPr>
          <w:t xml:space="preserve">Alaska Stock Assessments</w:t>
        </w:r>
      </w:hyperlink>
    </w:p>
    <w:p>
      <w:pPr>
        <w:pStyle w:val="Compact"/>
        <w:numPr>
          <w:ilvl w:val="0"/>
          <w:numId w:val="1014"/>
        </w:numPr>
      </w:pPr>
      <w:hyperlink r:id="rId317">
        <w:r>
          <w:rPr>
            <w:rStyle w:val="Hyperlink"/>
          </w:rPr>
          <w:t xml:space="preserve">North Pacific Groundfish Stock Assessment and Fishery Evaluation Reports</w:t>
        </w:r>
      </w:hyperlink>
    </w:p>
    <w:p>
      <w:pPr>
        <w:pStyle w:val="Compact"/>
        <w:numPr>
          <w:ilvl w:val="0"/>
          <w:numId w:val="1014"/>
        </w:numPr>
      </w:pPr>
      <w:hyperlink r:id="rId318">
        <w:r>
          <w:rPr>
            <w:rStyle w:val="Hyperlink"/>
          </w:rPr>
          <w:t xml:space="preserve">Groundfish Economic Status Reports for the Gulf of Alaska and Bering Sea and Aleutian Islands</w:t>
        </w:r>
      </w:hyperlink>
    </w:p>
    <w:p>
      <w:pPr>
        <w:pStyle w:val="Compact"/>
        <w:numPr>
          <w:ilvl w:val="0"/>
          <w:numId w:val="1014"/>
        </w:numPr>
      </w:pPr>
      <w:hyperlink r:id="rId319">
        <w:r>
          <w:rPr>
            <w:rStyle w:val="Hyperlink"/>
          </w:rPr>
          <w:t xml:space="preserve">Alaska Marine Ecosystem Status Report Database</w:t>
        </w:r>
      </w:hyperlink>
    </w:p>
    <w:p>
      <w:pPr>
        <w:pStyle w:val="Compact"/>
        <w:numPr>
          <w:ilvl w:val="0"/>
          <w:numId w:val="1014"/>
        </w:numPr>
      </w:pPr>
      <w:hyperlink r:id="rId320">
        <w:r>
          <w:rPr>
            <w:rStyle w:val="Hyperlink"/>
          </w:rPr>
          <w:t xml:space="preserve">Southeast Alaska Coastal Monitoring Survey Reports</w:t>
        </w:r>
      </w:hyperlink>
    </w:p>
    <w:p>
      <w:pPr>
        <w:pStyle w:val="Compact"/>
        <w:numPr>
          <w:ilvl w:val="0"/>
          <w:numId w:val="1014"/>
        </w:numPr>
      </w:pPr>
      <w:hyperlink r:id="rId321">
        <w:r>
          <w:rPr>
            <w:rStyle w:val="Hyperlink"/>
          </w:rPr>
          <w:t xml:space="preserve">Alaska Fisheries Life History Database</w:t>
        </w:r>
      </w:hyperlink>
    </w:p>
    <w:p>
      <w:pPr>
        <w:pStyle w:val="Compact"/>
        <w:numPr>
          <w:ilvl w:val="0"/>
          <w:numId w:val="1014"/>
        </w:numPr>
      </w:pPr>
      <w:hyperlink r:id="rId322">
        <w:r>
          <w:rPr>
            <w:rStyle w:val="Hyperlink"/>
          </w:rPr>
          <w:t xml:space="preserve">Essential Fish Habitat Research Plan in Alaska</w:t>
        </w:r>
      </w:hyperlink>
    </w:p>
    <w:bookmarkEnd w:id="323"/>
    <w:bookmarkEnd w:id="324"/>
    <w:bookmarkStart w:id="325" w:name="citations-and-references"/>
    <w:p>
      <w:pPr>
        <w:pStyle w:val="Heading1"/>
      </w:pPr>
      <w:r>
        <w:t xml:space="preserve">24. Citations and References</w:t>
      </w:r>
    </w:p>
    <w:bookmarkEnd w:id="325"/>
    <w:bookmarkStart w:id="326"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
          <w:bCs/>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6"/>
    <w:bookmarkStart w:id="336" w:name="references"/>
    <w:p>
      <w:pPr>
        <w:pStyle w:val="Heading1"/>
      </w:pPr>
      <w:r>
        <w:t xml:space="preserve">26. References</w:t>
      </w:r>
    </w:p>
    <w:bookmarkStart w:id="335" w:name="refs"/>
    <w:bookmarkStart w:id="328"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7">
        <w:r>
          <w:rPr>
            <w:rStyle w:val="Hyperlink"/>
          </w:rPr>
          <w:t xml:space="preserve">https://doi.org/10.7289/V5/TM-AFSC-339</w:t>
        </w:r>
      </w:hyperlink>
    </w:p>
    <w:bookmarkEnd w:id="328"/>
    <w:bookmarkStart w:id="33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9">
        <w:r>
          <w:rPr>
            <w:rStyle w:val="Hyperlink"/>
          </w:rPr>
          <w:t xml:space="preserve">https://doi.org/10.25923/2mry-yx09</w:t>
        </w:r>
      </w:hyperlink>
    </w:p>
    <w:bookmarkEnd w:id="330"/>
    <w:bookmarkStart w:id="33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1">
        <w:r>
          <w:rPr>
            <w:rStyle w:val="Hyperlink"/>
          </w:rPr>
          <w:t xml:space="preserve">https://doi.org/10.25923/gbb1-x748</w:t>
        </w:r>
      </w:hyperlink>
    </w:p>
    <w:bookmarkEnd w:id="332"/>
    <w:bookmarkStart w:id="33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333">
        <w:r>
          <w:rPr>
            <w:rStyle w:val="Hyperlink"/>
          </w:rPr>
          <w:t xml:space="preserve">https://doi.org/10.25923/85cy-g225</w:t>
        </w:r>
      </w:hyperlink>
    </w:p>
    <w:bookmarkEnd w:id="334"/>
    <w:bookmarkEnd w:id="335"/>
    <w:bookmarkEnd w:id="3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59" Target="media/rId159.png" /><Relationship Type="http://schemas.openxmlformats.org/officeDocument/2006/relationships/image" Id="rId258" Target="media/rId258.png" /><Relationship Type="http://schemas.openxmlformats.org/officeDocument/2006/relationships/image" Id="rId253" Target="media/rId25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337" Target="https://www.commerce.gov/" TargetMode="External" /><Relationship Type="http://schemas.openxmlformats.org/officeDocument/2006/relationships/hyperlink" Id="rId239" Target="https://www.dataquest.io/blog/r-api-tutorial/" TargetMode="External" /><Relationship Type="http://schemas.openxmlformats.org/officeDocument/2006/relationships/hyperlink" Id="rId339" Target="https://www.fisheries.noaa.gov/"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38" Target="https://www.noaa.gov" TargetMode="External" /><Relationship Type="http://schemas.openxmlformats.org/officeDocument/2006/relationships/hyperlink" Id="rId27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337" Target="https://www.commerce.gov/" TargetMode="External" /><Relationship Type="http://schemas.openxmlformats.org/officeDocument/2006/relationships/hyperlink" Id="rId239" Target="https://www.dataquest.io/blog/r-api-tutorial/" TargetMode="External" /><Relationship Type="http://schemas.openxmlformats.org/officeDocument/2006/relationships/hyperlink" Id="rId339" Target="https://www.fisheries.noaa.gov/"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38" Target="https://www.noaa.gov" TargetMode="External" /><Relationship Type="http://schemas.openxmlformats.org/officeDocument/2006/relationships/hyperlink" Id="rId27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2025-09-10T22:18:57Z</dcterms:created>
  <dcterms:modified xsi:type="dcterms:W3CDTF">2025-09-10T22:18:57Z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